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 xml:space="preserve">Βραδινή αναχώρηση 4 μέρες / 2 νύχτες </w:t>
      </w:r>
      <w:r w:rsidR="004574CA">
        <w:rPr>
          <w:b/>
        </w:rPr>
        <w:t>23-26.12.24, 27-30,12,24, 03-06,01,25.</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4574CA" w:rsidRDefault="004574CA" w:rsidP="00E53BCC"/>
    <w:tbl>
      <w:tblPr>
        <w:tblStyle w:val="a4"/>
        <w:tblW w:w="0" w:type="auto"/>
        <w:tblLook w:val="04A0" w:firstRow="1" w:lastRow="0" w:firstColumn="1" w:lastColumn="0" w:noHBand="0" w:noVBand="1"/>
      </w:tblPr>
      <w:tblGrid>
        <w:gridCol w:w="1304"/>
        <w:gridCol w:w="674"/>
        <w:gridCol w:w="1148"/>
        <w:gridCol w:w="932"/>
        <w:gridCol w:w="1215"/>
        <w:gridCol w:w="1472"/>
        <w:gridCol w:w="1551"/>
      </w:tblGrid>
      <w:tr w:rsidR="00E412CF" w:rsidRPr="00E412CF" w:rsidTr="00106635">
        <w:trPr>
          <w:trHeight w:val="630"/>
        </w:trPr>
        <w:tc>
          <w:tcPr>
            <w:tcW w:w="4058" w:type="dxa"/>
            <w:gridSpan w:val="4"/>
            <w:shd w:val="clear" w:color="auto" w:fill="FFFF00"/>
            <w:hideMark/>
          </w:tcPr>
          <w:p w:rsidR="00E412CF" w:rsidRPr="00E412CF" w:rsidRDefault="00E412CF" w:rsidP="00E412CF">
            <w:pPr>
              <w:jc w:val="center"/>
              <w:rPr>
                <w:b/>
                <w:bCs/>
              </w:rPr>
            </w:pPr>
            <w:r w:rsidRPr="00E412CF">
              <w:rPr>
                <w:b/>
                <w:bCs/>
              </w:rPr>
              <w:t>Κωνσταντινούπολη – Βραδινή αναχώρηση 4 μέρες / 2 νύχτες</w:t>
            </w:r>
          </w:p>
        </w:tc>
        <w:tc>
          <w:tcPr>
            <w:tcW w:w="4238" w:type="dxa"/>
            <w:gridSpan w:val="3"/>
            <w:shd w:val="clear" w:color="auto" w:fill="FFFF00"/>
            <w:hideMark/>
          </w:tcPr>
          <w:p w:rsidR="00E412CF" w:rsidRPr="00E412CF" w:rsidRDefault="004574CA" w:rsidP="00E412CF">
            <w:pPr>
              <w:jc w:val="center"/>
              <w:rPr>
                <w:b/>
                <w:bCs/>
              </w:rPr>
            </w:pPr>
            <w:r>
              <w:rPr>
                <w:b/>
                <w:bCs/>
              </w:rPr>
              <w:t>Αναχωρήσεις</w:t>
            </w:r>
            <w:r w:rsidR="00E412CF" w:rsidRPr="00E412CF">
              <w:rPr>
                <w:b/>
                <w:bCs/>
              </w:rPr>
              <w:t xml:space="preserve">: </w:t>
            </w:r>
            <w:r>
              <w:rPr>
                <w:b/>
                <w:bCs/>
              </w:rPr>
              <w:t>23.12.24, 27,12,24, 03,01,25</w:t>
            </w:r>
            <w:r w:rsidR="00E412CF" w:rsidRPr="00E412CF">
              <w:rPr>
                <w:b/>
                <w:bCs/>
              </w:rPr>
              <w:t xml:space="preserve"> - Πακέτο εκδρομής</w:t>
            </w:r>
          </w:p>
        </w:tc>
      </w:tr>
      <w:tr w:rsidR="00E412CF" w:rsidRPr="00E412CF" w:rsidTr="00106635">
        <w:trPr>
          <w:trHeight w:val="990"/>
        </w:trPr>
        <w:tc>
          <w:tcPr>
            <w:tcW w:w="1304" w:type="dxa"/>
            <w:hideMark/>
          </w:tcPr>
          <w:p w:rsidR="00E412CF" w:rsidRPr="00E412CF" w:rsidRDefault="00E412CF" w:rsidP="00E412CF">
            <w:pPr>
              <w:jc w:val="center"/>
              <w:rPr>
                <w:b/>
                <w:bCs/>
              </w:rPr>
            </w:pPr>
            <w:r w:rsidRPr="00E412CF">
              <w:rPr>
                <w:b/>
                <w:bCs/>
              </w:rPr>
              <w:t>Ξενοδοχεία</w:t>
            </w:r>
          </w:p>
        </w:tc>
        <w:tc>
          <w:tcPr>
            <w:tcW w:w="674" w:type="dxa"/>
            <w:hideMark/>
          </w:tcPr>
          <w:p w:rsidR="00E412CF" w:rsidRPr="00E412CF" w:rsidRDefault="00E412CF" w:rsidP="00E412CF">
            <w:pPr>
              <w:jc w:val="center"/>
              <w:rPr>
                <w:b/>
                <w:bCs/>
              </w:rPr>
            </w:pPr>
            <w:proofErr w:type="spellStart"/>
            <w:r w:rsidRPr="00E412CF">
              <w:rPr>
                <w:b/>
                <w:bCs/>
              </w:rPr>
              <w:t>Κατ</w:t>
            </w:r>
            <w:proofErr w:type="spellEnd"/>
            <w:r w:rsidRPr="00E412CF">
              <w:rPr>
                <w:b/>
                <w:bCs/>
              </w:rPr>
              <w:t>.</w:t>
            </w:r>
          </w:p>
        </w:tc>
        <w:tc>
          <w:tcPr>
            <w:tcW w:w="1148" w:type="dxa"/>
            <w:hideMark/>
          </w:tcPr>
          <w:p w:rsidR="00E412CF" w:rsidRPr="00E412CF" w:rsidRDefault="00E412CF" w:rsidP="00E412CF">
            <w:pPr>
              <w:jc w:val="center"/>
              <w:rPr>
                <w:b/>
                <w:bCs/>
              </w:rPr>
            </w:pPr>
            <w:r w:rsidRPr="00E412CF">
              <w:rPr>
                <w:b/>
                <w:bCs/>
              </w:rPr>
              <w:t>Διατροφή</w:t>
            </w:r>
          </w:p>
        </w:tc>
        <w:tc>
          <w:tcPr>
            <w:tcW w:w="932" w:type="dxa"/>
            <w:hideMark/>
          </w:tcPr>
          <w:p w:rsidR="00E412CF" w:rsidRPr="00E412CF" w:rsidRDefault="00E412CF" w:rsidP="00E412CF">
            <w:pPr>
              <w:jc w:val="center"/>
              <w:rPr>
                <w:b/>
                <w:bCs/>
              </w:rPr>
            </w:pPr>
            <w:r w:rsidRPr="00E412CF">
              <w:rPr>
                <w:b/>
                <w:bCs/>
              </w:rPr>
              <w:t>Τιμή σε δίκλινο</w:t>
            </w:r>
          </w:p>
        </w:tc>
        <w:tc>
          <w:tcPr>
            <w:tcW w:w="1215" w:type="dxa"/>
            <w:hideMark/>
          </w:tcPr>
          <w:p w:rsidR="00E412CF" w:rsidRPr="00E412CF" w:rsidRDefault="00E412CF" w:rsidP="00E412CF">
            <w:pPr>
              <w:jc w:val="center"/>
              <w:rPr>
                <w:b/>
                <w:bCs/>
              </w:rPr>
            </w:pPr>
            <w:r w:rsidRPr="00E412CF">
              <w:rPr>
                <w:b/>
                <w:bCs/>
              </w:rPr>
              <w:t>Παιδί σε τρίκλινο</w:t>
            </w:r>
          </w:p>
        </w:tc>
        <w:tc>
          <w:tcPr>
            <w:tcW w:w="1472" w:type="dxa"/>
            <w:hideMark/>
          </w:tcPr>
          <w:p w:rsidR="00E412CF" w:rsidRPr="00E412CF" w:rsidRDefault="00E412CF" w:rsidP="00E412CF">
            <w:pPr>
              <w:jc w:val="center"/>
              <w:rPr>
                <w:b/>
                <w:bCs/>
              </w:rPr>
            </w:pPr>
            <w:proofErr w:type="spellStart"/>
            <w:r w:rsidRPr="00E412CF">
              <w:rPr>
                <w:b/>
                <w:bCs/>
              </w:rPr>
              <w:t>Επιβ</w:t>
            </w:r>
            <w:proofErr w:type="spellEnd"/>
            <w:r w:rsidRPr="00E412CF">
              <w:rPr>
                <w:b/>
                <w:bCs/>
              </w:rPr>
              <w:t>. Μονόκλινου</w:t>
            </w:r>
          </w:p>
        </w:tc>
        <w:tc>
          <w:tcPr>
            <w:tcW w:w="1551" w:type="dxa"/>
            <w:hideMark/>
          </w:tcPr>
          <w:p w:rsidR="00E412CF" w:rsidRPr="00E412CF" w:rsidRDefault="00E412CF" w:rsidP="00E412CF">
            <w:pPr>
              <w:rPr>
                <w:b/>
                <w:bCs/>
              </w:rPr>
            </w:pPr>
            <w:r w:rsidRPr="00E412CF">
              <w:rPr>
                <w:b/>
                <w:bCs/>
              </w:rPr>
              <w:t>Γενικές Πληροφορίες</w:t>
            </w:r>
          </w:p>
        </w:tc>
      </w:tr>
      <w:tr w:rsidR="00E412CF" w:rsidRPr="00E412CF" w:rsidTr="00106635">
        <w:trPr>
          <w:trHeight w:val="1455"/>
        </w:trPr>
        <w:tc>
          <w:tcPr>
            <w:tcW w:w="1304" w:type="dxa"/>
            <w:vMerge w:val="restart"/>
          </w:tcPr>
          <w:p w:rsidR="00E412CF" w:rsidRPr="004574CA" w:rsidRDefault="004574CA" w:rsidP="00E412CF">
            <w:pPr>
              <w:jc w:val="center"/>
              <w:rPr>
                <w:lang w:val="en-US"/>
              </w:rPr>
            </w:pPr>
            <w:proofErr w:type="spellStart"/>
            <w:r>
              <w:rPr>
                <w:lang w:val="en-US"/>
              </w:rPr>
              <w:t>Europlaza</w:t>
            </w:r>
            <w:proofErr w:type="spellEnd"/>
          </w:p>
        </w:tc>
        <w:tc>
          <w:tcPr>
            <w:tcW w:w="674" w:type="dxa"/>
            <w:vMerge w:val="restart"/>
          </w:tcPr>
          <w:p w:rsidR="00E412CF" w:rsidRPr="00106635" w:rsidRDefault="00106635" w:rsidP="00E412CF">
            <w:pPr>
              <w:jc w:val="center"/>
              <w:rPr>
                <w:lang w:val="en-US"/>
              </w:rPr>
            </w:pPr>
            <w:r>
              <w:rPr>
                <w:lang w:val="en-US"/>
              </w:rPr>
              <w:t>4*</w:t>
            </w:r>
          </w:p>
        </w:tc>
        <w:tc>
          <w:tcPr>
            <w:tcW w:w="1148" w:type="dxa"/>
            <w:vMerge w:val="restart"/>
          </w:tcPr>
          <w:p w:rsidR="00E412CF" w:rsidRPr="00106635" w:rsidRDefault="00106635" w:rsidP="00E412CF">
            <w:pPr>
              <w:jc w:val="center"/>
            </w:pPr>
            <w:r>
              <w:t>Πρωινό</w:t>
            </w:r>
          </w:p>
        </w:tc>
        <w:tc>
          <w:tcPr>
            <w:tcW w:w="932" w:type="dxa"/>
            <w:vMerge w:val="restart"/>
          </w:tcPr>
          <w:p w:rsidR="00E412CF" w:rsidRPr="00106635" w:rsidRDefault="00106635" w:rsidP="00E412CF">
            <w:pPr>
              <w:jc w:val="center"/>
            </w:pPr>
            <w:r>
              <w:t>175€</w:t>
            </w:r>
          </w:p>
        </w:tc>
        <w:tc>
          <w:tcPr>
            <w:tcW w:w="1215" w:type="dxa"/>
            <w:vMerge w:val="restart"/>
          </w:tcPr>
          <w:p w:rsidR="00E412CF" w:rsidRPr="00E412CF" w:rsidRDefault="00106635" w:rsidP="00E412CF">
            <w:pPr>
              <w:jc w:val="center"/>
            </w:pPr>
            <w:r>
              <w:t>145€</w:t>
            </w:r>
          </w:p>
        </w:tc>
        <w:tc>
          <w:tcPr>
            <w:tcW w:w="1472" w:type="dxa"/>
            <w:vMerge w:val="restart"/>
          </w:tcPr>
          <w:p w:rsidR="00E412CF" w:rsidRPr="00E412CF" w:rsidRDefault="00106635" w:rsidP="00E412CF">
            <w:pPr>
              <w:jc w:val="center"/>
            </w:pPr>
            <w:r>
              <w:t>59€</w:t>
            </w:r>
          </w:p>
        </w:tc>
        <w:tc>
          <w:tcPr>
            <w:tcW w:w="1551" w:type="dxa"/>
            <w:vMerge w:val="restart"/>
            <w:hideMark/>
          </w:tcPr>
          <w:p w:rsidR="00E412CF" w:rsidRPr="00E412CF" w:rsidRDefault="00E412CF">
            <w:r w:rsidRPr="00E412CF">
              <w:t> </w:t>
            </w:r>
          </w:p>
        </w:tc>
      </w:tr>
      <w:tr w:rsidR="00E412CF" w:rsidRPr="00E412CF" w:rsidTr="00106635">
        <w:trPr>
          <w:trHeight w:val="269"/>
        </w:trPr>
        <w:tc>
          <w:tcPr>
            <w:tcW w:w="1304" w:type="dxa"/>
            <w:vMerge/>
          </w:tcPr>
          <w:p w:rsidR="00E412CF" w:rsidRPr="00E412CF" w:rsidRDefault="00E412CF" w:rsidP="00E412CF">
            <w:pPr>
              <w:jc w:val="center"/>
            </w:pPr>
          </w:p>
        </w:tc>
        <w:tc>
          <w:tcPr>
            <w:tcW w:w="674" w:type="dxa"/>
            <w:vMerge/>
          </w:tcPr>
          <w:p w:rsidR="00E412CF" w:rsidRPr="00E412CF" w:rsidRDefault="00E412CF" w:rsidP="00E412CF">
            <w:pPr>
              <w:jc w:val="center"/>
            </w:pPr>
          </w:p>
        </w:tc>
        <w:tc>
          <w:tcPr>
            <w:tcW w:w="1148" w:type="dxa"/>
            <w:vMerge/>
          </w:tcPr>
          <w:p w:rsidR="00E412CF" w:rsidRPr="00E412CF" w:rsidRDefault="00E412CF" w:rsidP="00E412CF">
            <w:pPr>
              <w:jc w:val="center"/>
            </w:pPr>
          </w:p>
        </w:tc>
        <w:tc>
          <w:tcPr>
            <w:tcW w:w="932" w:type="dxa"/>
            <w:vMerge/>
          </w:tcPr>
          <w:p w:rsidR="00E412CF" w:rsidRPr="00E412CF" w:rsidRDefault="00E412CF" w:rsidP="00E412CF">
            <w:pPr>
              <w:jc w:val="center"/>
            </w:pPr>
          </w:p>
        </w:tc>
        <w:tc>
          <w:tcPr>
            <w:tcW w:w="1215" w:type="dxa"/>
            <w:vMerge/>
          </w:tcPr>
          <w:p w:rsidR="00E412CF" w:rsidRPr="00E412CF" w:rsidRDefault="00E412CF" w:rsidP="00E412CF">
            <w:pPr>
              <w:jc w:val="center"/>
            </w:pPr>
          </w:p>
        </w:tc>
        <w:tc>
          <w:tcPr>
            <w:tcW w:w="1472" w:type="dxa"/>
            <w:vMerge/>
          </w:tcPr>
          <w:p w:rsidR="00E412CF" w:rsidRPr="00E412CF" w:rsidRDefault="00E412CF" w:rsidP="00E412CF">
            <w:pPr>
              <w:jc w:val="center"/>
            </w:pPr>
          </w:p>
        </w:tc>
        <w:tc>
          <w:tcPr>
            <w:tcW w:w="1551" w:type="dxa"/>
            <w:vMerge/>
            <w:hideMark/>
          </w:tcPr>
          <w:p w:rsidR="00E412CF" w:rsidRPr="00E412CF" w:rsidRDefault="00E412CF"/>
        </w:tc>
      </w:tr>
      <w:tr w:rsidR="00E412CF" w:rsidRPr="00E412CF" w:rsidTr="00106635">
        <w:trPr>
          <w:trHeight w:val="1290"/>
        </w:trPr>
        <w:tc>
          <w:tcPr>
            <w:tcW w:w="1304" w:type="dxa"/>
            <w:vMerge w:val="restart"/>
          </w:tcPr>
          <w:p w:rsidR="00E412CF" w:rsidRPr="00106635" w:rsidRDefault="00106635" w:rsidP="00E412CF">
            <w:pPr>
              <w:jc w:val="center"/>
              <w:rPr>
                <w:lang w:val="en-US"/>
              </w:rPr>
            </w:pPr>
            <w:r>
              <w:rPr>
                <w:lang w:val="en-US"/>
              </w:rPr>
              <w:t>Riva</w:t>
            </w:r>
          </w:p>
        </w:tc>
        <w:tc>
          <w:tcPr>
            <w:tcW w:w="674" w:type="dxa"/>
            <w:vMerge w:val="restart"/>
          </w:tcPr>
          <w:p w:rsidR="00E412CF" w:rsidRPr="00106635" w:rsidRDefault="00106635" w:rsidP="00E412CF">
            <w:pPr>
              <w:jc w:val="center"/>
              <w:rPr>
                <w:lang w:val="en-US"/>
              </w:rPr>
            </w:pPr>
            <w:r>
              <w:rPr>
                <w:lang w:val="en-US"/>
              </w:rPr>
              <w:t>4*</w:t>
            </w:r>
          </w:p>
        </w:tc>
        <w:tc>
          <w:tcPr>
            <w:tcW w:w="1148" w:type="dxa"/>
            <w:vMerge w:val="restart"/>
          </w:tcPr>
          <w:p w:rsidR="00E412CF" w:rsidRPr="00E412CF" w:rsidRDefault="00106635" w:rsidP="00E412CF">
            <w:pPr>
              <w:jc w:val="center"/>
            </w:pPr>
            <w:r>
              <w:t>Πρωινό</w:t>
            </w:r>
          </w:p>
        </w:tc>
        <w:tc>
          <w:tcPr>
            <w:tcW w:w="932" w:type="dxa"/>
            <w:vMerge w:val="restart"/>
          </w:tcPr>
          <w:p w:rsidR="00E412CF" w:rsidRPr="00E412CF" w:rsidRDefault="00106635" w:rsidP="00E412CF">
            <w:pPr>
              <w:jc w:val="center"/>
            </w:pPr>
            <w:r>
              <w:t>189€</w:t>
            </w:r>
          </w:p>
        </w:tc>
        <w:tc>
          <w:tcPr>
            <w:tcW w:w="1215" w:type="dxa"/>
            <w:vMerge w:val="restart"/>
          </w:tcPr>
          <w:p w:rsidR="00E412CF" w:rsidRPr="00E412CF" w:rsidRDefault="00106635" w:rsidP="00E412CF">
            <w:pPr>
              <w:jc w:val="center"/>
            </w:pPr>
            <w:r>
              <w:t>159€</w:t>
            </w:r>
          </w:p>
        </w:tc>
        <w:tc>
          <w:tcPr>
            <w:tcW w:w="1472" w:type="dxa"/>
            <w:vMerge w:val="restart"/>
          </w:tcPr>
          <w:p w:rsidR="00E412CF" w:rsidRPr="00E412CF" w:rsidRDefault="00106635" w:rsidP="00E412CF">
            <w:pPr>
              <w:jc w:val="center"/>
            </w:pPr>
            <w:r>
              <w:t>65€</w:t>
            </w:r>
          </w:p>
        </w:tc>
        <w:tc>
          <w:tcPr>
            <w:tcW w:w="1551" w:type="dxa"/>
            <w:vMerge/>
            <w:hideMark/>
          </w:tcPr>
          <w:p w:rsidR="00E412CF" w:rsidRPr="00E412CF" w:rsidRDefault="00E412CF"/>
        </w:tc>
      </w:tr>
      <w:tr w:rsidR="00E412CF" w:rsidRPr="00E412CF" w:rsidTr="00106635">
        <w:trPr>
          <w:trHeight w:val="450"/>
        </w:trPr>
        <w:tc>
          <w:tcPr>
            <w:tcW w:w="1304" w:type="dxa"/>
            <w:vMerge/>
          </w:tcPr>
          <w:p w:rsidR="00E412CF" w:rsidRPr="00E412CF" w:rsidRDefault="00E412CF" w:rsidP="00E412CF">
            <w:pPr>
              <w:jc w:val="center"/>
            </w:pPr>
          </w:p>
        </w:tc>
        <w:tc>
          <w:tcPr>
            <w:tcW w:w="674" w:type="dxa"/>
            <w:vMerge/>
          </w:tcPr>
          <w:p w:rsidR="00E412CF" w:rsidRPr="00E412CF" w:rsidRDefault="00E412CF" w:rsidP="00E412CF">
            <w:pPr>
              <w:jc w:val="center"/>
            </w:pPr>
          </w:p>
        </w:tc>
        <w:tc>
          <w:tcPr>
            <w:tcW w:w="1148" w:type="dxa"/>
            <w:vMerge/>
          </w:tcPr>
          <w:p w:rsidR="00E412CF" w:rsidRPr="00E412CF" w:rsidRDefault="00E412CF" w:rsidP="00E412CF">
            <w:pPr>
              <w:jc w:val="center"/>
            </w:pPr>
          </w:p>
        </w:tc>
        <w:tc>
          <w:tcPr>
            <w:tcW w:w="932" w:type="dxa"/>
            <w:vMerge/>
          </w:tcPr>
          <w:p w:rsidR="00E412CF" w:rsidRPr="00E412CF" w:rsidRDefault="00E412CF" w:rsidP="00E412CF">
            <w:pPr>
              <w:jc w:val="center"/>
            </w:pPr>
          </w:p>
        </w:tc>
        <w:tc>
          <w:tcPr>
            <w:tcW w:w="1215" w:type="dxa"/>
            <w:vMerge/>
          </w:tcPr>
          <w:p w:rsidR="00E412CF" w:rsidRPr="00E412CF" w:rsidRDefault="00E412CF" w:rsidP="00E412CF">
            <w:pPr>
              <w:jc w:val="center"/>
            </w:pPr>
          </w:p>
        </w:tc>
        <w:tc>
          <w:tcPr>
            <w:tcW w:w="1472" w:type="dxa"/>
            <w:vMerge/>
          </w:tcPr>
          <w:p w:rsidR="00E412CF" w:rsidRPr="00E412CF" w:rsidRDefault="00E412CF" w:rsidP="00E412CF">
            <w:pPr>
              <w:jc w:val="center"/>
            </w:pPr>
          </w:p>
        </w:tc>
        <w:tc>
          <w:tcPr>
            <w:tcW w:w="1551" w:type="dxa"/>
            <w:vMerge/>
            <w:hideMark/>
          </w:tcPr>
          <w:p w:rsidR="00E412CF" w:rsidRPr="00E412CF" w:rsidRDefault="00E412CF"/>
        </w:tc>
      </w:tr>
      <w:tr w:rsidR="00106635" w:rsidRPr="00E412CF" w:rsidTr="00106635">
        <w:trPr>
          <w:trHeight w:val="793"/>
        </w:trPr>
        <w:tc>
          <w:tcPr>
            <w:tcW w:w="1304" w:type="dxa"/>
          </w:tcPr>
          <w:p w:rsidR="00106635" w:rsidRDefault="00106635" w:rsidP="00E412CF">
            <w:pPr>
              <w:jc w:val="center"/>
              <w:rPr>
                <w:lang w:val="en-US"/>
              </w:rPr>
            </w:pPr>
            <w:proofErr w:type="spellStart"/>
            <w:r>
              <w:rPr>
                <w:lang w:val="en-US"/>
              </w:rPr>
              <w:t>Feronya</w:t>
            </w:r>
            <w:proofErr w:type="spellEnd"/>
          </w:p>
        </w:tc>
        <w:tc>
          <w:tcPr>
            <w:tcW w:w="674" w:type="dxa"/>
          </w:tcPr>
          <w:p w:rsidR="00106635" w:rsidRDefault="00106635" w:rsidP="00E412CF">
            <w:pPr>
              <w:jc w:val="center"/>
              <w:rPr>
                <w:lang w:val="en-US"/>
              </w:rPr>
            </w:pPr>
            <w:r>
              <w:rPr>
                <w:lang w:val="en-US"/>
              </w:rPr>
              <w:t>4*</w:t>
            </w:r>
          </w:p>
        </w:tc>
        <w:tc>
          <w:tcPr>
            <w:tcW w:w="1148" w:type="dxa"/>
          </w:tcPr>
          <w:p w:rsidR="00106635" w:rsidRPr="00E412CF" w:rsidRDefault="00106635" w:rsidP="00E412CF">
            <w:pPr>
              <w:jc w:val="center"/>
            </w:pPr>
            <w:r>
              <w:t>Πρωινό</w:t>
            </w:r>
          </w:p>
        </w:tc>
        <w:tc>
          <w:tcPr>
            <w:tcW w:w="932" w:type="dxa"/>
          </w:tcPr>
          <w:p w:rsidR="00106635" w:rsidRPr="00E412CF" w:rsidRDefault="00106635" w:rsidP="00E412CF">
            <w:pPr>
              <w:jc w:val="center"/>
            </w:pPr>
            <w:r>
              <w:t>189€</w:t>
            </w:r>
          </w:p>
        </w:tc>
        <w:tc>
          <w:tcPr>
            <w:tcW w:w="1215" w:type="dxa"/>
          </w:tcPr>
          <w:p w:rsidR="00106635" w:rsidRPr="00E412CF" w:rsidRDefault="00106635" w:rsidP="00E412CF">
            <w:pPr>
              <w:jc w:val="center"/>
            </w:pPr>
            <w:r>
              <w:t>159€</w:t>
            </w:r>
          </w:p>
        </w:tc>
        <w:tc>
          <w:tcPr>
            <w:tcW w:w="1472" w:type="dxa"/>
          </w:tcPr>
          <w:p w:rsidR="00106635" w:rsidRPr="00E412CF" w:rsidRDefault="00106635" w:rsidP="00E412CF">
            <w:pPr>
              <w:jc w:val="center"/>
            </w:pPr>
            <w:r>
              <w:t>65€</w:t>
            </w:r>
          </w:p>
        </w:tc>
        <w:tc>
          <w:tcPr>
            <w:tcW w:w="1551" w:type="dxa"/>
            <w:vMerge/>
          </w:tcPr>
          <w:p w:rsidR="00106635" w:rsidRPr="00E412CF" w:rsidRDefault="00106635"/>
        </w:tc>
      </w:tr>
      <w:tr w:rsidR="00E412CF" w:rsidRPr="00E412CF" w:rsidTr="00106635">
        <w:trPr>
          <w:trHeight w:val="913"/>
        </w:trPr>
        <w:tc>
          <w:tcPr>
            <w:tcW w:w="1304" w:type="dxa"/>
            <w:vMerge w:val="restart"/>
          </w:tcPr>
          <w:p w:rsidR="00E412CF" w:rsidRPr="00106635" w:rsidRDefault="00106635" w:rsidP="00E412CF">
            <w:pPr>
              <w:jc w:val="center"/>
              <w:rPr>
                <w:lang w:val="en-US"/>
              </w:rPr>
            </w:pPr>
            <w:r>
              <w:rPr>
                <w:lang w:val="en-US"/>
              </w:rPr>
              <w:lastRenderedPageBreak/>
              <w:t>Central Palace</w:t>
            </w:r>
          </w:p>
        </w:tc>
        <w:tc>
          <w:tcPr>
            <w:tcW w:w="674" w:type="dxa"/>
            <w:vMerge w:val="restart"/>
          </w:tcPr>
          <w:p w:rsidR="00E412CF" w:rsidRPr="00106635" w:rsidRDefault="00106635" w:rsidP="00E412CF">
            <w:pPr>
              <w:jc w:val="center"/>
              <w:rPr>
                <w:lang w:val="en-US"/>
              </w:rPr>
            </w:pPr>
            <w:r>
              <w:rPr>
                <w:lang w:val="en-US"/>
              </w:rPr>
              <w:t>4*</w:t>
            </w:r>
          </w:p>
        </w:tc>
        <w:tc>
          <w:tcPr>
            <w:tcW w:w="1148" w:type="dxa"/>
            <w:vMerge w:val="restart"/>
          </w:tcPr>
          <w:p w:rsidR="00E412CF" w:rsidRPr="00E412CF" w:rsidRDefault="00106635" w:rsidP="00E412CF">
            <w:pPr>
              <w:jc w:val="center"/>
            </w:pPr>
            <w:r>
              <w:t>Πρωινό</w:t>
            </w:r>
          </w:p>
        </w:tc>
        <w:tc>
          <w:tcPr>
            <w:tcW w:w="932" w:type="dxa"/>
            <w:vMerge w:val="restart"/>
          </w:tcPr>
          <w:p w:rsidR="00E412CF" w:rsidRPr="00E412CF" w:rsidRDefault="00106635" w:rsidP="00E412CF">
            <w:pPr>
              <w:jc w:val="center"/>
            </w:pPr>
            <w:r>
              <w:t>195€</w:t>
            </w:r>
          </w:p>
        </w:tc>
        <w:tc>
          <w:tcPr>
            <w:tcW w:w="1215" w:type="dxa"/>
            <w:vMerge w:val="restart"/>
          </w:tcPr>
          <w:p w:rsidR="00E412CF" w:rsidRPr="00E412CF" w:rsidRDefault="00106635" w:rsidP="00E412CF">
            <w:pPr>
              <w:jc w:val="center"/>
            </w:pPr>
            <w:r>
              <w:t>160€</w:t>
            </w:r>
          </w:p>
        </w:tc>
        <w:tc>
          <w:tcPr>
            <w:tcW w:w="1472" w:type="dxa"/>
            <w:vMerge w:val="restart"/>
          </w:tcPr>
          <w:p w:rsidR="00E412CF" w:rsidRPr="00E412CF" w:rsidRDefault="00106635" w:rsidP="00E412CF">
            <w:pPr>
              <w:jc w:val="center"/>
            </w:pPr>
            <w:r>
              <w:t>70€</w:t>
            </w:r>
            <w:bookmarkStart w:id="0" w:name="_GoBack"/>
            <w:bookmarkEnd w:id="0"/>
          </w:p>
        </w:tc>
        <w:tc>
          <w:tcPr>
            <w:tcW w:w="1551" w:type="dxa"/>
            <w:vMerge/>
            <w:hideMark/>
          </w:tcPr>
          <w:p w:rsidR="00E412CF" w:rsidRPr="00E412CF" w:rsidRDefault="00E412CF"/>
        </w:tc>
      </w:tr>
      <w:tr w:rsidR="00E412CF" w:rsidRPr="00E412CF" w:rsidTr="00106635">
        <w:trPr>
          <w:trHeight w:val="450"/>
        </w:trPr>
        <w:tc>
          <w:tcPr>
            <w:tcW w:w="1304" w:type="dxa"/>
            <w:vMerge/>
          </w:tcPr>
          <w:p w:rsidR="00E412CF" w:rsidRPr="00E412CF" w:rsidRDefault="00E412CF"/>
        </w:tc>
        <w:tc>
          <w:tcPr>
            <w:tcW w:w="674" w:type="dxa"/>
            <w:vMerge/>
          </w:tcPr>
          <w:p w:rsidR="00E412CF" w:rsidRPr="00E412CF" w:rsidRDefault="00E412CF"/>
        </w:tc>
        <w:tc>
          <w:tcPr>
            <w:tcW w:w="1148" w:type="dxa"/>
            <w:vMerge/>
          </w:tcPr>
          <w:p w:rsidR="00E412CF" w:rsidRPr="00E412CF" w:rsidRDefault="00E412CF"/>
        </w:tc>
        <w:tc>
          <w:tcPr>
            <w:tcW w:w="932" w:type="dxa"/>
            <w:vMerge/>
          </w:tcPr>
          <w:p w:rsidR="00E412CF" w:rsidRPr="00E412CF" w:rsidRDefault="00E412CF"/>
        </w:tc>
        <w:tc>
          <w:tcPr>
            <w:tcW w:w="1215" w:type="dxa"/>
            <w:vMerge/>
          </w:tcPr>
          <w:p w:rsidR="00E412CF" w:rsidRPr="00E412CF" w:rsidRDefault="00E412CF"/>
        </w:tc>
        <w:tc>
          <w:tcPr>
            <w:tcW w:w="1472" w:type="dxa"/>
            <w:vMerge/>
          </w:tcPr>
          <w:p w:rsidR="00E412CF" w:rsidRPr="00E412CF" w:rsidRDefault="00E412CF"/>
        </w:tc>
        <w:tc>
          <w:tcPr>
            <w:tcW w:w="1551" w:type="dxa"/>
            <w:vMerge/>
            <w:hideMark/>
          </w:tcPr>
          <w:p w:rsidR="00E412CF" w:rsidRPr="00E412CF" w:rsidRDefault="00E412CF"/>
        </w:tc>
      </w:tr>
      <w:tr w:rsidR="00E412CF" w:rsidRPr="00E412CF" w:rsidTr="00106635">
        <w:trPr>
          <w:trHeight w:val="2535"/>
        </w:trPr>
        <w:tc>
          <w:tcPr>
            <w:tcW w:w="8296" w:type="dxa"/>
            <w:gridSpan w:val="7"/>
            <w:vMerge w:val="restart"/>
            <w:hideMark/>
          </w:tcPr>
          <w:p w:rsidR="00E412CF" w:rsidRPr="00E412CF" w:rsidRDefault="00E412CF">
            <w:pPr>
              <w:rPr>
                <w:b/>
                <w:bCs/>
              </w:rPr>
            </w:pPr>
            <w:r w:rsidRPr="00E412CF">
              <w:rPr>
                <w:b/>
                <w:bCs/>
              </w:rPr>
              <w:t xml:space="preserve">Στη τιμή περιλαμβάνονται: </w:t>
            </w:r>
            <w:r w:rsidRPr="00E412CF">
              <w:rPr>
                <w:bCs/>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412CF">
              <w:rPr>
                <w:bCs/>
              </w:rPr>
              <w:br/>
            </w:r>
            <w:r w:rsidRPr="00E412CF">
              <w:rPr>
                <w:b/>
                <w:bCs/>
              </w:rPr>
              <w:t xml:space="preserve">Δεν περιλαμβάνονται: </w:t>
            </w:r>
            <w:r w:rsidRPr="00E412CF">
              <w:rPr>
                <w:bCs/>
              </w:rPr>
              <w:t>Δημοτικοί φόροι: 6€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E412CF">
              <w:rPr>
                <w:b/>
                <w:bCs/>
              </w:rPr>
              <w:t xml:space="preserve"> </w:t>
            </w:r>
          </w:p>
        </w:tc>
      </w:tr>
      <w:tr w:rsidR="00E412CF" w:rsidRPr="00E412CF" w:rsidTr="00106635">
        <w:trPr>
          <w:trHeight w:val="450"/>
        </w:trPr>
        <w:tc>
          <w:tcPr>
            <w:tcW w:w="8296" w:type="dxa"/>
            <w:gridSpan w:val="7"/>
            <w:vMerge/>
            <w:hideMark/>
          </w:tcPr>
          <w:p w:rsidR="00E412CF" w:rsidRPr="00E412CF" w:rsidRDefault="00E412CF">
            <w:pPr>
              <w:rPr>
                <w:b/>
                <w:bCs/>
              </w:rPr>
            </w:pPr>
          </w:p>
        </w:tc>
      </w:tr>
    </w:tbl>
    <w:p w:rsidR="00E53BCC" w:rsidRDefault="00E53BCC" w:rsidP="00E53BCC"/>
    <w:sectPr w:rsidR="00E53B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106635"/>
    <w:rsid w:val="001E7E60"/>
    <w:rsid w:val="004574CA"/>
    <w:rsid w:val="004A03B8"/>
    <w:rsid w:val="009C4B41"/>
    <w:rsid w:val="00CC2FC4"/>
    <w:rsid w:val="00DD454A"/>
    <w:rsid w:val="00E412CF"/>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2F45"/>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920</Words>
  <Characters>4973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2023-07-21T06:53:00Z</dcterms:created>
  <dcterms:modified xsi:type="dcterms:W3CDTF">2024-11-13T12:41:00Z</dcterms:modified>
</cp:coreProperties>
</file>